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4D0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Annexe 8.1 / © GSP (Modèle)</w:t>
      </w:r>
    </w:p>
    <w:p w:rsidR="00000000" w:rsidRDefault="009A4D0B">
      <w:pPr>
        <w:rPr>
          <w:rFonts w:ascii="Arial" w:hAnsi="Arial"/>
          <w:b/>
          <w:sz w:val="22"/>
        </w:rPr>
      </w:pPr>
    </w:p>
    <w:p w:rsidR="00000000" w:rsidRDefault="009A4D0B">
      <w:pPr>
        <w:pStyle w:val="berschrift1"/>
      </w:pPr>
      <w:r>
        <w:t>Conditions générales de forage et livraison</w:t>
      </w:r>
    </w:p>
    <w:p w:rsidR="00000000" w:rsidRDefault="009A4D0B">
      <w:pPr>
        <w:rPr>
          <w:rFonts w:ascii="Arial" w:hAnsi="Arial"/>
          <w:b/>
        </w:rPr>
      </w:pPr>
    </w:p>
    <w:p w:rsidR="00000000" w:rsidRDefault="009A4D0B"/>
    <w:p w:rsidR="00000000" w:rsidRDefault="009A4D0B">
      <w:pPr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Prestations de l'entreprise de forages</w:t>
      </w:r>
    </w:p>
    <w:p w:rsidR="00000000" w:rsidRDefault="009A4D0B">
      <w:pPr>
        <w:rPr>
          <w:rFonts w:ascii="Arial" w:hAnsi="Arial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1.1</w:t>
      </w:r>
      <w:r>
        <w:rPr>
          <w:rFonts w:ascii="Arial" w:hAnsi="Arial"/>
          <w:sz w:val="22"/>
        </w:rPr>
        <w:tab/>
        <w:t>Réalisation des forages dans de la roche incohérente et cohérente.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1.2</w:t>
      </w:r>
      <w:r>
        <w:rPr>
          <w:rFonts w:ascii="Arial" w:hAnsi="Arial"/>
          <w:sz w:val="22"/>
        </w:rPr>
        <w:tab/>
        <w:t>Fourniture, mise en place et épreuve de pression de la sonde d</w:t>
      </w:r>
      <w:r>
        <w:rPr>
          <w:rFonts w:ascii="Arial" w:hAnsi="Arial"/>
          <w:sz w:val="22"/>
        </w:rPr>
        <w:t>e chaleur terrestre.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1.3</w:t>
      </w:r>
      <w:r>
        <w:rPr>
          <w:rFonts w:ascii="Arial" w:hAnsi="Arial"/>
          <w:sz w:val="22"/>
        </w:rPr>
        <w:tab/>
        <w:t>Remplissage de la chambre annulaire avec un produit d'injection, y compris la fourn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ture selon les conditions du certificat de qualité du Groupement pr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motionnel suisse pour les pompes à chaleur GSP, de l'OFEFP et des cantons. Le </w:t>
      </w:r>
      <w:r>
        <w:rPr>
          <w:rFonts w:ascii="Arial" w:hAnsi="Arial"/>
          <w:sz w:val="22"/>
        </w:rPr>
        <w:t>remplissage su</w:t>
      </w:r>
      <w:r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plémentaire des forages (si l’équipe de forage n’est plus sur site) avec du sable à cause de l'abaissement de la suspension par infiltration doit être exécuté par le client ou doit être payé séparément à l'e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treprise de forages selon les tau</w:t>
      </w:r>
      <w:r>
        <w:rPr>
          <w:rFonts w:ascii="Arial" w:hAnsi="Arial"/>
          <w:sz w:val="22"/>
        </w:rPr>
        <w:t>x de régie.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1.4</w:t>
      </w:r>
      <w:r>
        <w:rPr>
          <w:rFonts w:ascii="Arial" w:hAnsi="Arial"/>
          <w:sz w:val="22"/>
        </w:rPr>
        <w:tab/>
        <w:t>Si l'on ne convient de rien de divergent dans l'offre ou dans la confirmation de co</w:t>
      </w:r>
      <w:r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mande de l'entreprise de forages ainsi que dans ces conditions du contrat, la norme SIA 118 (conditions générales concernant des travaux de construction) a</w:t>
      </w:r>
      <w:r>
        <w:rPr>
          <w:rFonts w:ascii="Arial" w:hAnsi="Arial"/>
          <w:sz w:val="22"/>
        </w:rPr>
        <w:t>insi que les règlements du CO suisse sont val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bles.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1.5</w:t>
      </w:r>
      <w:r>
        <w:rPr>
          <w:rFonts w:ascii="Arial" w:hAnsi="Arial"/>
          <w:sz w:val="22"/>
        </w:rPr>
        <w:tab/>
        <w:t>Assurance des risques d’eau artésien resp. assurance responsabilité civile du maître d'ouvrage selon les conditions d'assurance jointes. (voir point 3.2 et 3.3)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Travaux de préparation et prestat</w:t>
      </w:r>
      <w:r>
        <w:rPr>
          <w:rFonts w:ascii="Arial" w:hAnsi="Arial"/>
          <w:b/>
        </w:rPr>
        <w:t>ions du maître de l'ouvrage</w:t>
      </w:r>
    </w:p>
    <w:p w:rsidR="00000000" w:rsidRDefault="009A4D0B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</w:t>
      </w:r>
      <w:r>
        <w:rPr>
          <w:rFonts w:ascii="Arial" w:hAnsi="Arial"/>
          <w:sz w:val="22"/>
        </w:rPr>
        <w:tab/>
        <w:t>Accès au point de forage (même dans des conditions atmosphériques difficiles), la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geur minimum 3 m, pente max. 18% (moyens auxiliaires éventuels, par exemple grue, à la charge du maître de l'ouvrage.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2.2</w:t>
      </w:r>
      <w:r>
        <w:rPr>
          <w:rFonts w:ascii="Arial" w:hAnsi="Arial"/>
          <w:sz w:val="22"/>
        </w:rPr>
        <w:tab/>
        <w:t>Place de forage mi</w:t>
      </w:r>
      <w:r>
        <w:rPr>
          <w:rFonts w:ascii="Arial" w:hAnsi="Arial"/>
          <w:sz w:val="22"/>
        </w:rPr>
        <w:t>n. 10 x 4 m, inclinaison max. 5% (résistante aux véhicules lourds sur pneus ou sur chenilles). En cas de doute, laissez juger le site par l’entreprise de forages.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2.3</w:t>
      </w:r>
      <w:r>
        <w:rPr>
          <w:rFonts w:ascii="Arial" w:hAnsi="Arial"/>
          <w:sz w:val="22"/>
        </w:rPr>
        <w:tab/>
        <w:t>Mise à disposition d'une benne à déchets à parois hautes, au min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mum 6-7 m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>, pour recevo</w:t>
      </w:r>
      <w:r>
        <w:rPr>
          <w:rFonts w:ascii="Arial" w:hAnsi="Arial"/>
          <w:sz w:val="22"/>
        </w:rPr>
        <w:t>ir la boue de forage (distance max. 20 m du point de forage). Les bennes sont rappelées par le chef de l’équipe après l’aménagement du site de forage. D’autres bennes selon les besoins du forage. Si aucune benne n'est à disposition, les coûts supplémentair</w:t>
      </w:r>
      <w:r>
        <w:rPr>
          <w:rFonts w:ascii="Arial" w:hAnsi="Arial"/>
          <w:sz w:val="22"/>
        </w:rPr>
        <w:t>es, comme par exemple creuse d'une fosse, temps d'attente de l'équipe de forage, etc. doivent être pris en charge.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2.4</w:t>
      </w:r>
      <w:r>
        <w:rPr>
          <w:rFonts w:ascii="Arial" w:hAnsi="Arial"/>
          <w:sz w:val="22"/>
        </w:rPr>
        <w:tab/>
        <w:t>Evacuation et élimination des résidus et boue de forage dans les bennes mentio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nées ci-dessus ou tout autre moyen adapté.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2.5</w:t>
      </w:r>
      <w:r>
        <w:rPr>
          <w:rFonts w:ascii="Arial" w:hAnsi="Arial"/>
          <w:sz w:val="22"/>
        </w:rPr>
        <w:tab/>
        <w:t>Eventuell</w:t>
      </w:r>
      <w:r>
        <w:rPr>
          <w:rFonts w:ascii="Arial" w:hAnsi="Arial"/>
          <w:sz w:val="22"/>
        </w:rPr>
        <w:t>e obtention d'une expertise géologique.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pStyle w:val="BodyText2"/>
        <w:rPr>
          <w:sz w:val="22"/>
        </w:rPr>
      </w:pPr>
      <w:r>
        <w:rPr>
          <w:sz w:val="22"/>
        </w:rPr>
        <w:t>2.6</w:t>
      </w:r>
      <w:r>
        <w:rPr>
          <w:sz w:val="22"/>
        </w:rPr>
        <w:tab/>
        <w:t>Acquisition de l'autorisation de l'Office de protection des eaux (elle doit être dispon</w:t>
      </w:r>
      <w:r>
        <w:rPr>
          <w:sz w:val="22"/>
        </w:rPr>
        <w:t>i</w:t>
      </w:r>
      <w:r>
        <w:rPr>
          <w:sz w:val="22"/>
        </w:rPr>
        <w:t>ble avant le transport de la machine de forage sur place), respectiv</w:t>
      </w:r>
      <w:r>
        <w:rPr>
          <w:sz w:val="22"/>
        </w:rPr>
        <w:t>e</w:t>
      </w:r>
      <w:r>
        <w:rPr>
          <w:sz w:val="22"/>
        </w:rPr>
        <w:t>ment des autres autorisations nécessaires (par exemple</w:t>
      </w:r>
      <w:r>
        <w:rPr>
          <w:sz w:val="22"/>
        </w:rPr>
        <w:t xml:space="preserve"> utilisation d'un te</w:t>
      </w:r>
      <w:r>
        <w:rPr>
          <w:sz w:val="22"/>
        </w:rPr>
        <w:t>r</w:t>
      </w:r>
      <w:r>
        <w:rPr>
          <w:sz w:val="22"/>
        </w:rPr>
        <w:t>rain étranger).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2.7</w:t>
      </w:r>
      <w:r>
        <w:rPr>
          <w:rFonts w:ascii="Arial" w:hAnsi="Arial"/>
          <w:sz w:val="22"/>
        </w:rPr>
        <w:tab/>
        <w:t>Piquetage du point de forage, tous les éléments de piquetage sont consid</w:t>
      </w:r>
      <w:r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 xml:space="preserve">rés comme justes sans vérification par l'entreprise. Tous les retards ou des dégâts qui </w:t>
      </w:r>
      <w:r>
        <w:rPr>
          <w:rFonts w:ascii="Arial" w:hAnsi="Arial"/>
          <w:sz w:val="22"/>
        </w:rPr>
        <w:lastRenderedPageBreak/>
        <w:t xml:space="preserve">sont la conséquence d’un jalonnement inaccessible ou </w:t>
      </w:r>
      <w:r>
        <w:rPr>
          <w:rFonts w:ascii="Arial" w:hAnsi="Arial"/>
          <w:sz w:val="22"/>
        </w:rPr>
        <w:t>mal ind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qué sont à la charge du client.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2.8</w:t>
      </w:r>
      <w:r>
        <w:rPr>
          <w:rFonts w:ascii="Arial" w:hAnsi="Arial"/>
          <w:sz w:val="22"/>
        </w:rPr>
        <w:tab/>
        <w:t>Garantie qu'aucune conduite, canalisation, construction souterraine, etc., ne se trouve dans le domaine des forages, lesquelles pourraient être endommagées par les travaux de forage et d'injection.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numPr>
          <w:ilvl w:val="1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Recouvrement</w:t>
      </w:r>
      <w:r>
        <w:rPr>
          <w:rFonts w:ascii="Arial" w:hAnsi="Arial"/>
          <w:sz w:val="22"/>
        </w:rPr>
        <w:t xml:space="preserve"> des murs, respectivement des autres parties de bât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ments à proximité du point de forage (distance 5-8 m, hauteur maximale du bâtiment) dans la mesure où il existe un risque d'encrassement. L'entreprise de for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ges n'est en aucun cas responsable des éventue</w:t>
      </w:r>
      <w:r>
        <w:rPr>
          <w:rFonts w:ascii="Arial" w:hAnsi="Arial"/>
          <w:sz w:val="22"/>
        </w:rPr>
        <w:t>lles conséquences d'un mauvais recouvrement ou d'un r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couvrement défectueux.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2.10</w:t>
      </w:r>
      <w:r>
        <w:rPr>
          <w:rFonts w:ascii="Arial" w:hAnsi="Arial"/>
          <w:sz w:val="22"/>
        </w:rPr>
        <w:tab/>
        <w:t>Mise à disposition d'un raccordement électrique (400 V, 25 A, fiche J-25/5P ou fiche 400, J-15/5P, min. 20 ampères et 230 V, 10 A, fiche 2 P + E) et la fourniture de l'énerg</w:t>
      </w:r>
      <w:r>
        <w:rPr>
          <w:rFonts w:ascii="Arial" w:hAnsi="Arial"/>
          <w:sz w:val="22"/>
        </w:rPr>
        <w:t>ie électrique (distance maximale 50 m du point de f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rage).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2.11</w:t>
      </w:r>
      <w:r>
        <w:rPr>
          <w:rFonts w:ascii="Arial" w:hAnsi="Arial"/>
          <w:sz w:val="22"/>
        </w:rPr>
        <w:tab/>
        <w:t>Eau de forage à partir d'un raccordement de chantier (min. 3/4 ", di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tance max. 50 m, 6 bar) ou si nécessaire à partir d'une hydrante, y compris l'autor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sation de la commune.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2.12</w:t>
      </w:r>
      <w:r>
        <w:rPr>
          <w:rFonts w:ascii="Arial" w:hAnsi="Arial"/>
          <w:sz w:val="22"/>
        </w:rPr>
        <w:tab/>
        <w:t>Remplissag</w:t>
      </w:r>
      <w:r>
        <w:rPr>
          <w:rFonts w:ascii="Arial" w:hAnsi="Arial"/>
          <w:sz w:val="22"/>
        </w:rPr>
        <w:t>e de la sonde géothermique verticale avec un liquide cal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porteur.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2.13</w:t>
      </w:r>
      <w:r>
        <w:rPr>
          <w:rFonts w:ascii="Arial" w:hAnsi="Arial"/>
          <w:sz w:val="22"/>
        </w:rPr>
        <w:tab/>
        <w:t>Réception de la sonde à la fin des travaux sur invitation et en présence de l'entr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preneur (si le maître de l'ouvrage ou son représentant ne donne pas immédiatement suite à l'invitatio</w:t>
      </w:r>
      <w:r>
        <w:rPr>
          <w:rFonts w:ascii="Arial" w:hAnsi="Arial"/>
          <w:sz w:val="22"/>
        </w:rPr>
        <w:t>n, la sonde est considérée comme réce</w:t>
      </w:r>
      <w:r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tionnée).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2.14</w:t>
      </w:r>
      <w:r>
        <w:rPr>
          <w:rFonts w:ascii="Arial" w:hAnsi="Arial"/>
          <w:sz w:val="22"/>
        </w:rPr>
        <w:tab/>
        <w:t>Protection des parties des sondes situées à l'extérieur après leur r</w:t>
      </w:r>
      <w:r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ception.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Délimitation des prestations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3.1</w:t>
      </w:r>
      <w:r>
        <w:rPr>
          <w:rFonts w:ascii="Arial" w:hAnsi="Arial"/>
          <w:sz w:val="22"/>
        </w:rPr>
        <w:tab/>
        <w:t>L'entrepreneur se réserve, en cas d'apparitions de conditions géologiques particuli</w:t>
      </w:r>
      <w:r>
        <w:rPr>
          <w:rFonts w:ascii="Arial" w:hAnsi="Arial"/>
          <w:sz w:val="22"/>
        </w:rPr>
        <w:t>è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es imprévues, après consultation du géologue, de répartir le métrage foré total en plusieurs forages. Toutes les plus-values ou minorations en résultant sont à la charge ou en faveur du commettant.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3.2</w:t>
      </w:r>
      <w:r>
        <w:rPr>
          <w:rFonts w:ascii="Arial" w:hAnsi="Arial"/>
          <w:sz w:val="22"/>
        </w:rPr>
        <w:tab/>
        <w:t>Les dépenses imprévues, comme notamment les frais pou</w:t>
      </w:r>
      <w:r>
        <w:rPr>
          <w:rFonts w:ascii="Arial" w:hAnsi="Arial"/>
          <w:sz w:val="22"/>
        </w:rPr>
        <w:t>r boucher des v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nues d’eau artésien ou de gaz et/ou pour fermer le forage définitivement, sont facturées en supplément en régie et à la charge du maître de l'o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vrage.</w:t>
      </w:r>
      <w:r>
        <w:rPr>
          <w:rFonts w:ascii="Arial" w:hAnsi="Arial"/>
          <w:sz w:val="22"/>
        </w:rPr>
        <w:br/>
        <w:t>Le client peut couvrir ces dégâts causés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sz w:val="22"/>
        </w:rPr>
        <w:t>par l'entreprise de forage (somme de co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verture </w:t>
      </w:r>
      <w:r>
        <w:rPr>
          <w:rFonts w:ascii="Arial" w:hAnsi="Arial"/>
          <w:sz w:val="22"/>
        </w:rPr>
        <w:t xml:space="preserve">maximale </w:t>
      </w:r>
      <w:r w:rsidRPr="0059530D">
        <w:rPr>
          <w:rFonts w:ascii="Arial" w:hAnsi="Arial"/>
          <w:sz w:val="22"/>
        </w:rPr>
        <w:t>CHF……………….</w:t>
      </w:r>
      <w:r w:rsidRPr="0059530D">
        <w:rPr>
          <w:rFonts w:ascii="Arial" w:hAnsi="Arial"/>
          <w:sz w:val="22"/>
        </w:rPr>
        <w:t xml:space="preserve"> par événement). La prime est de </w:t>
      </w:r>
      <w:r w:rsidRPr="0059530D">
        <w:rPr>
          <w:rFonts w:ascii="Arial" w:hAnsi="Arial"/>
          <w:sz w:val="22"/>
        </w:rPr>
        <w:t>CHF …………...</w:t>
      </w:r>
      <w:r w:rsidRPr="0059530D">
        <w:rPr>
          <w:rFonts w:ascii="Arial" w:hAnsi="Arial"/>
          <w:sz w:val="22"/>
        </w:rPr>
        <w:t xml:space="preserve"> 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pStyle w:val="BodyTextIndent2"/>
      </w:pPr>
      <w:r>
        <w:t>3.3</w:t>
      </w:r>
      <w:r>
        <w:tab/>
        <w:t>Nous attirons l'attention sur cela : des dégâts de tiers sont</w:t>
      </w:r>
      <w:bookmarkStart w:id="0" w:name="_GoBack"/>
      <w:bookmarkEnd w:id="0"/>
      <w:r>
        <w:t xml:space="preserve"> à recouvrir par une ass</w:t>
      </w:r>
      <w:r>
        <w:t>u</w:t>
      </w:r>
      <w:r>
        <w:t>rance correspondante par le client. Pour des dommages de tiers qui sont une cons</w:t>
      </w:r>
      <w:r>
        <w:t>é</w:t>
      </w:r>
      <w:r>
        <w:t>quence de l'incide</w:t>
      </w:r>
      <w:r>
        <w:t>nt artésien ou gaz, l'entreprise de forage ne peut assumer aucune responsabilité (après § 679 CC et § 58 CO, le maître de l'ouvrage est responsable de dommages de tiers.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3.4</w:t>
      </w:r>
      <w:r>
        <w:rPr>
          <w:rFonts w:ascii="Arial" w:hAnsi="Arial"/>
          <w:sz w:val="22"/>
        </w:rPr>
        <w:tab/>
        <w:t xml:space="preserve">Les réclamations qui sont présentées par le maître de l'ouvrage plus de six mois </w:t>
      </w:r>
      <w:r>
        <w:rPr>
          <w:rFonts w:ascii="Arial" w:hAnsi="Arial"/>
          <w:sz w:val="22"/>
        </w:rPr>
        <w:t>après l'évacuation du chantier par l'entreprise de forages sont dans tous les cas hors délai, même si cette réclamation n'était pas identifiable à la réception de la sonde ou a été de quelque façon que ce soit découverte plus tard. La présomption irréfutab</w:t>
      </w:r>
      <w:r>
        <w:rPr>
          <w:rFonts w:ascii="Arial" w:hAnsi="Arial"/>
          <w:sz w:val="22"/>
        </w:rPr>
        <w:t>le que les travaux de l'entreprise de forages sont intervenus sans aucun vice est a</w:t>
      </w:r>
      <w:r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quise après six mois.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3.5</w:t>
      </w:r>
      <w:r>
        <w:rPr>
          <w:rFonts w:ascii="Arial" w:hAnsi="Arial"/>
          <w:sz w:val="22"/>
        </w:rPr>
        <w:tab/>
        <w:t>Si, pour des raisons dues à la construction ou à des tiers, les équipements de forage doivent être évacués, un transport d'amenée et d'évacuation</w:t>
      </w:r>
      <w:r>
        <w:rPr>
          <w:rFonts w:ascii="Arial" w:hAnsi="Arial"/>
          <w:sz w:val="22"/>
        </w:rPr>
        <w:t xml:space="preserve"> supplémentaire est fa</w:t>
      </w:r>
      <w:r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turé en plus du temps d'attente. Si l'œuvre ne peut pas être terminée pour des ra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sons géologiques, tous les frais accumulés jusqu'à l'arrêt des travails sont facturés au client.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pStyle w:val="BodyTextIndent2"/>
      </w:pPr>
      <w:r>
        <w:t>3.6</w:t>
      </w:r>
      <w:r>
        <w:tab/>
        <w:t>Si un forage ne peut être réalisé pour des raison</w:t>
      </w:r>
      <w:r>
        <w:t>s géologiques ou techniques ou est terminé avec retard pour cette raison, l'entrepreneur n'est pas respo</w:t>
      </w:r>
      <w:r>
        <w:t>n</w:t>
      </w:r>
      <w:r>
        <w:t xml:space="preserve">sable des coûts induits. 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3.7</w:t>
      </w:r>
      <w:r>
        <w:rPr>
          <w:rFonts w:ascii="Arial" w:hAnsi="Arial"/>
          <w:sz w:val="22"/>
        </w:rPr>
        <w:tab/>
        <w:t>L'entreprise de forages s'engage à respecter les délais d'exécution conv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nus. Elle n'est cependant pas responsable de re</w:t>
      </w:r>
      <w:r>
        <w:rPr>
          <w:rFonts w:ascii="Arial" w:hAnsi="Arial"/>
          <w:sz w:val="22"/>
        </w:rPr>
        <w:t>tards à travers des défaillances de machine, retards de programme etc. Toutes exigences de dommages-intérêts à ce sujet sont refusées expressément.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3.8</w:t>
      </w:r>
      <w:r>
        <w:rPr>
          <w:rFonts w:ascii="Arial" w:hAnsi="Arial"/>
          <w:sz w:val="22"/>
        </w:rPr>
        <w:tab/>
        <w:t>A des conditions normales du sol, la puissance spécifique de la sonde gé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thermique ne doit pas dépasser</w:t>
      </w:r>
      <w:r>
        <w:rPr>
          <w:rFonts w:ascii="Arial" w:hAnsi="Arial"/>
          <w:sz w:val="22"/>
        </w:rPr>
        <w:t xml:space="preserve"> 50 W/m (pour les profondeurs entre 60 et 200 m) resp. 55 W/m (pour des profondeurs plus que 200 m)avec 1'800 - 2' 000 heures d'opération par an. Si ces valeurs sont dépassées, l'entreprise de forages refuse toutes les exigences de responsabilité pour des </w:t>
      </w:r>
      <w:r>
        <w:rPr>
          <w:rFonts w:ascii="Arial" w:hAnsi="Arial" w:cs="Arial"/>
          <w:color w:val="000000"/>
          <w:sz w:val="22"/>
        </w:rPr>
        <w:t>dommages consécutifs</w:t>
      </w:r>
      <w:r>
        <w:rPr>
          <w:rFonts w:ascii="Arial" w:hAnsi="Arial"/>
          <w:sz w:val="22"/>
        </w:rPr>
        <w:t>.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3.9</w:t>
      </w:r>
      <w:r>
        <w:rPr>
          <w:rFonts w:ascii="Arial" w:hAnsi="Arial"/>
          <w:sz w:val="22"/>
        </w:rPr>
        <w:tab/>
        <w:t>Attention : Le dessèchement du bâtiment peut mener à des dommages à la sonde gé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thermique.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3.10</w:t>
      </w:r>
      <w:r>
        <w:rPr>
          <w:rFonts w:ascii="Arial" w:hAnsi="Arial"/>
          <w:sz w:val="22"/>
        </w:rPr>
        <w:tab/>
        <w:t>Le client doit garantir que les conditions mentionnées sous le chiffre 3 sont remplies.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Conditions spéciales en régions de mont</w:t>
      </w:r>
      <w:r>
        <w:rPr>
          <w:rFonts w:ascii="Arial" w:hAnsi="Arial"/>
          <w:b/>
        </w:rPr>
        <w:t>agnes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4.1</w:t>
      </w:r>
      <w:r>
        <w:rPr>
          <w:rFonts w:ascii="Arial" w:hAnsi="Arial"/>
          <w:sz w:val="22"/>
        </w:rPr>
        <w:tab/>
        <w:t>La place de forage doit être exempte de neige et de glace. (voir également point 2.1)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4.2</w:t>
      </w:r>
      <w:r>
        <w:rPr>
          <w:rFonts w:ascii="Arial" w:hAnsi="Arial"/>
          <w:sz w:val="22"/>
        </w:rPr>
        <w:tab/>
        <w:t>Des interruptions dues aux intempéries, par exemple neige et glace, sont facturées à la charge du client selon l'article 5 (taux réduits!).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4.3</w:t>
      </w:r>
      <w:r>
        <w:rPr>
          <w:rFonts w:ascii="Arial" w:hAnsi="Arial"/>
          <w:sz w:val="22"/>
        </w:rPr>
        <w:tab/>
        <w:t>Les coûts</w:t>
      </w:r>
      <w:r>
        <w:rPr>
          <w:rFonts w:ascii="Arial" w:hAnsi="Arial"/>
          <w:sz w:val="22"/>
        </w:rPr>
        <w:t xml:space="preserve"> des mesures spéciales pour le maintien du fonctionnement du f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rage à des températures de moins de 2°C sont à la charge du client et ils sont facturés s</w:t>
      </w:r>
      <w:r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parément.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4.4</w:t>
      </w:r>
      <w:r>
        <w:rPr>
          <w:rFonts w:ascii="Arial" w:hAnsi="Arial"/>
          <w:sz w:val="22"/>
        </w:rPr>
        <w:tab/>
        <w:t>Si les travaux doivent être définitivement arrêtés en raison de l'apparition de l'hiver,</w:t>
      </w:r>
      <w:r>
        <w:rPr>
          <w:rFonts w:ascii="Arial" w:hAnsi="Arial"/>
          <w:sz w:val="22"/>
        </w:rPr>
        <w:t xml:space="preserve"> l'entrepreneur n'est pas responsable des coûts induits.</w:t>
      </w:r>
    </w:p>
    <w:p w:rsidR="00000000" w:rsidRDefault="009A4D0B">
      <w:pPr>
        <w:ind w:left="709" w:hanging="709"/>
        <w:rPr>
          <w:rFonts w:ascii="Arial" w:hAnsi="Arial"/>
          <w:sz w:val="22"/>
        </w:rPr>
      </w:pPr>
    </w:p>
    <w:p w:rsidR="00000000" w:rsidRDefault="009A4D0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4.5</w:t>
      </w:r>
      <w:r>
        <w:rPr>
          <w:rFonts w:ascii="Arial" w:hAnsi="Arial"/>
          <w:sz w:val="22"/>
        </w:rPr>
        <w:tab/>
        <w:t>Le client paie le transport d'amenée et d'évacuation de l'installation de forage lors de la reprise des travaux.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pStyle w:val="berschrift2"/>
      </w:pPr>
      <w:r>
        <w:t>5</w:t>
      </w:r>
      <w:r>
        <w:tab/>
        <w:t>Taux de régie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pour temps d'attente ou retards sans fautes: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Contremaître de </w:t>
      </w:r>
      <w:r>
        <w:rPr>
          <w:rFonts w:ascii="Arial" w:hAnsi="Arial"/>
          <w:sz w:val="22"/>
        </w:rPr>
        <w:t>forage II</w:t>
      </w:r>
      <w:r>
        <w:rPr>
          <w:rFonts w:ascii="Arial" w:hAnsi="Arial"/>
          <w:sz w:val="22"/>
        </w:rPr>
        <w:tab/>
        <w:t>Fr.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/h</w:t>
      </w:r>
    </w:p>
    <w:p w:rsidR="00000000" w:rsidRDefault="009A4D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Contremaître de forage I </w:t>
      </w:r>
      <w:r>
        <w:rPr>
          <w:rFonts w:ascii="Arial" w:hAnsi="Arial"/>
          <w:sz w:val="22"/>
        </w:rPr>
        <w:tab/>
        <w:t>Fr.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/h</w:t>
      </w:r>
    </w:p>
    <w:p w:rsidR="00000000" w:rsidRDefault="009A4D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Spécialiste de forage </w:t>
      </w:r>
      <w:r>
        <w:rPr>
          <w:rFonts w:ascii="Arial" w:hAnsi="Arial"/>
          <w:sz w:val="22"/>
        </w:rPr>
        <w:tab/>
        <w:t>Fr.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/h</w:t>
      </w:r>
    </w:p>
    <w:p w:rsidR="00000000" w:rsidRDefault="009A4D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Appareils, forfait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/jour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pStyle w:val="berschrift2"/>
      </w:pPr>
      <w:r>
        <w:lastRenderedPageBreak/>
        <w:t>5</w:t>
      </w:r>
      <w:r>
        <w:tab/>
        <w:t>Droit applicable et tribunal compétant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pStyle w:val="Textkrper-Zeileneinzug"/>
      </w:pPr>
      <w:r>
        <w:t xml:space="preserve">Les partis déclarent le droit suisse applicable pour toutes les exigences et toutes les disputes </w:t>
      </w:r>
      <w:r>
        <w:t xml:space="preserve">de ce rapport de contrat et le tribunal de </w:t>
      </w:r>
      <w:r>
        <w:rPr>
          <w:highlight w:val="yellow"/>
        </w:rPr>
        <w:t>(lieu) ……………..</w:t>
      </w:r>
      <w:r>
        <w:t xml:space="preserve"> (Suisse) sera seul compétant. </w:t>
      </w: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rPr>
          <w:rFonts w:ascii="Arial" w:hAnsi="Arial"/>
          <w:sz w:val="22"/>
        </w:rPr>
      </w:pPr>
    </w:p>
    <w:p w:rsidR="00000000" w:rsidRDefault="009A4D0B">
      <w:pPr>
        <w:tabs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Le maître de l'ouvrage/client : …………………..</w:t>
      </w:r>
      <w:r>
        <w:rPr>
          <w:rFonts w:ascii="Arial" w:hAnsi="Arial"/>
          <w:sz w:val="22"/>
        </w:rPr>
        <w:tab/>
        <w:t>L'entrepreneur : ………………………….</w:t>
      </w:r>
    </w:p>
    <w:p w:rsidR="00000000" w:rsidRDefault="009A4D0B">
      <w:pPr>
        <w:tabs>
          <w:tab w:val="left" w:pos="5103"/>
        </w:tabs>
        <w:rPr>
          <w:rFonts w:ascii="Arial" w:hAnsi="Arial"/>
          <w:sz w:val="22"/>
        </w:rPr>
      </w:pPr>
    </w:p>
    <w:p w:rsidR="00000000" w:rsidRDefault="009A4D0B">
      <w:pPr>
        <w:tabs>
          <w:tab w:val="left" w:pos="5103"/>
        </w:tabs>
        <w:rPr>
          <w:rFonts w:ascii="Arial" w:hAnsi="Arial"/>
          <w:sz w:val="22"/>
        </w:rPr>
      </w:pPr>
    </w:p>
    <w:p w:rsidR="00000000" w:rsidRDefault="009A4D0B">
      <w:pPr>
        <w:pStyle w:val="Kopfzeile"/>
        <w:tabs>
          <w:tab w:val="clear" w:pos="4536"/>
          <w:tab w:val="clear" w:pos="9072"/>
          <w:tab w:val="left" w:pos="5103"/>
        </w:tabs>
        <w:rPr>
          <w:rFonts w:ascii="Arial" w:hAnsi="Arial"/>
          <w:sz w:val="22"/>
        </w:rPr>
      </w:pPr>
    </w:p>
    <w:p w:rsidR="00000000" w:rsidRDefault="009A4D0B">
      <w:pPr>
        <w:pStyle w:val="Kopfzeile"/>
        <w:tabs>
          <w:tab w:val="clear" w:pos="4536"/>
          <w:tab w:val="clear" w:pos="9072"/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Lieu, date : ………………………………………..</w:t>
      </w:r>
      <w:r>
        <w:rPr>
          <w:rFonts w:ascii="Arial" w:hAnsi="Arial"/>
          <w:sz w:val="22"/>
        </w:rPr>
        <w:tab/>
        <w:t>Lieu, date : ………………………………..</w:t>
      </w:r>
    </w:p>
    <w:p w:rsidR="009A4D0B" w:rsidRDefault="009A4D0B">
      <w:pPr>
        <w:pStyle w:val="Kopfzeile"/>
        <w:tabs>
          <w:tab w:val="clear" w:pos="4536"/>
          <w:tab w:val="clear" w:pos="9072"/>
          <w:tab w:val="left" w:pos="5103"/>
        </w:tabs>
        <w:rPr>
          <w:rFonts w:ascii="Arial" w:hAnsi="Arial"/>
          <w:sz w:val="22"/>
        </w:rPr>
      </w:pPr>
    </w:p>
    <w:sectPr w:rsidR="009A4D0B">
      <w:footerReference w:type="even" r:id="rId7"/>
      <w:footerReference w:type="default" r:id="rId8"/>
      <w:type w:val="continuous"/>
      <w:pgSz w:w="11880" w:h="1680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0B" w:rsidRDefault="009A4D0B">
      <w:r>
        <w:separator/>
      </w:r>
    </w:p>
  </w:endnote>
  <w:endnote w:type="continuationSeparator" w:id="0">
    <w:p w:rsidR="009A4D0B" w:rsidRDefault="009A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4D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9A4D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4D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9530D">
      <w:rPr>
        <w:rStyle w:val="Seitenzahl"/>
        <w:noProof/>
      </w:rPr>
      <w:t>3</w:t>
    </w:r>
    <w:r>
      <w:rPr>
        <w:rStyle w:val="Seitenzahl"/>
      </w:rPr>
      <w:fldChar w:fldCharType="end"/>
    </w:r>
  </w:p>
  <w:p w:rsidR="00000000" w:rsidRDefault="009A4D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0B" w:rsidRDefault="009A4D0B">
      <w:r>
        <w:separator/>
      </w:r>
    </w:p>
  </w:footnote>
  <w:footnote w:type="continuationSeparator" w:id="0">
    <w:p w:rsidR="009A4D0B" w:rsidRDefault="009A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311DB"/>
    <w:multiLevelType w:val="multilevel"/>
    <w:tmpl w:val="4ABA536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D"/>
    <w:rsid w:val="0059530D"/>
    <w:rsid w:val="009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5A2121-45ED-4B94-A6AC-FC7B7F9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eneva" w:hAnsi="Geneva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2">
    <w:name w:val="Body Text 2"/>
    <w:basedOn w:val="Standard"/>
    <w:pPr>
      <w:ind w:left="709" w:hanging="709"/>
    </w:pPr>
    <w:rPr>
      <w:rFonts w:ascii="Arial" w:hAnsi="Arial"/>
    </w:rPr>
  </w:style>
  <w:style w:type="paragraph" w:customStyle="1" w:styleId="BodyTextIndent2">
    <w:name w:val="Body Text Indent 2"/>
    <w:basedOn w:val="Standard"/>
    <w:pPr>
      <w:ind w:left="709" w:hanging="709"/>
    </w:pPr>
    <w:rPr>
      <w:rFonts w:ascii="Arial" w:hAnsi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strike w:val="0"/>
      <w:dstrike w:val="0"/>
      <w:color w:val="303A88"/>
      <w:sz w:val="22"/>
      <w:szCs w:val="22"/>
      <w:u w:val="none"/>
      <w:effect w:val="non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7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Annexe 8</vt:lpstr>
    </vt:vector>
  </TitlesOfParts>
  <Company>MKR Consulting AG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8</dc:title>
  <dc:subject/>
  <dc:creator>Daniel Salomé</dc:creator>
  <cp:keywords/>
  <dc:description/>
  <cp:lastModifiedBy>Walter Eugster</cp:lastModifiedBy>
  <cp:revision>2</cp:revision>
  <cp:lastPrinted>2005-05-19T15:29:00Z</cp:lastPrinted>
  <dcterms:created xsi:type="dcterms:W3CDTF">2019-03-28T12:56:00Z</dcterms:created>
  <dcterms:modified xsi:type="dcterms:W3CDTF">2019-03-28T12:56:00Z</dcterms:modified>
</cp:coreProperties>
</file>